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39C" w14:textId="7EC1470F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3E7AA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54B" w:rsidRPr="0087254B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87254B">
        <w:rPr>
          <w:rFonts w:ascii="Arial" w:hAnsi="Arial" w:cs="Arial"/>
          <w:b/>
          <w:color w:val="FF0000"/>
          <w:sz w:val="28"/>
          <w:szCs w:val="36"/>
        </w:rPr>
        <w:t>BTS MANAGEMENT COMMERCIAL OPERATIONNEL</w:t>
      </w:r>
    </w:p>
    <w:p w14:paraId="0AE6DBF8" w14:textId="77777777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+ 2 -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>
        <w:rPr>
          <w:rFonts w:ascii="Arial" w:hAnsi="Arial" w:cs="Arial"/>
          <w:b/>
          <w:color w:val="FF0000"/>
          <w:sz w:val="28"/>
          <w:szCs w:val="36"/>
        </w:rPr>
        <w:t>5</w:t>
      </w:r>
    </w:p>
    <w:p w14:paraId="559179D5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48FBB7D2" w14:textId="77777777" w:rsidR="0046310F" w:rsidRDefault="0046310F" w:rsidP="00662802">
      <w:pPr>
        <w:spacing w:after="0"/>
        <w:jc w:val="right"/>
        <w:rPr>
          <w:noProof/>
        </w:rPr>
      </w:pPr>
    </w:p>
    <w:p w14:paraId="7BC7CC27" w14:textId="1E067A43" w:rsidR="00662802" w:rsidRDefault="00337F1C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98D21CC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5BBE3776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B629BE9" w14:textId="597767A1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4CF7027" w14:textId="350E7677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06E37519" w14:textId="5F0FE698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000E3D00" w14:textId="3D46CC11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600F8250" w14:textId="4E07323E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051F660B" w14:textId="209A6E98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F917257" w14:textId="77777777" w:rsidR="00E62FB6" w:rsidRDefault="00E62FB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08F850B6" w:rsidR="0049746A" w:rsidRPr="00F9151F" w:rsidRDefault="0049746A" w:rsidP="00DC0CEA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F9151F" w:rsidRPr="00F9151F">
        <w:rPr>
          <w:rFonts w:ascii="Arial" w:hAnsi="Arial" w:cs="Arial"/>
          <w:b/>
          <w:szCs w:val="28"/>
        </w:rPr>
        <w:t>D1401-D1501-M1704-M1705-D1506</w:t>
      </w:r>
    </w:p>
    <w:p w14:paraId="538202F9" w14:textId="0BE91E2F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F9151F">
        <w:rPr>
          <w:rFonts w:ascii="Arial" w:hAnsi="Arial" w:cs="Arial"/>
          <w:b/>
          <w:color w:val="002060"/>
          <w:szCs w:val="28"/>
        </w:rPr>
        <w:t>317908</w:t>
      </w:r>
    </w:p>
    <w:p w14:paraId="3DB8F5FB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44C55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1F3864" w:themeColor="accent5" w:themeShade="80"/>
          <w:sz w:val="10"/>
          <w:szCs w:val="10"/>
        </w:rPr>
      </w:pPr>
    </w:p>
    <w:p w14:paraId="12488853" w14:textId="43A901DA" w:rsidR="000140D9" w:rsidRPr="00D44C55" w:rsidRDefault="00D44C55" w:rsidP="005515B5">
      <w:pPr>
        <w:pStyle w:val="Paragraphedeliste"/>
        <w:spacing w:after="0" w:line="240" w:lineRule="auto"/>
        <w:ind w:left="644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D44C55">
        <w:rPr>
          <w:rFonts w:ascii="Arial" w:hAnsi="Arial" w:cs="Arial"/>
          <w:color w:val="1F3864" w:themeColor="accent5" w:themeShade="80"/>
          <w:sz w:val="18"/>
          <w:szCs w:val="18"/>
        </w:rPr>
        <w:t>Former des personnes capables de prendre la responsabilité opérationnelle de tout ou partie d’une unité commerciale.</w:t>
      </w:r>
    </w:p>
    <w:p w14:paraId="45B8DE37" w14:textId="77777777" w:rsidR="00D44C55" w:rsidRPr="00D44C55" w:rsidRDefault="00D44C55" w:rsidP="005515B5">
      <w:pPr>
        <w:pStyle w:val="Paragraphedeliste"/>
        <w:spacing w:after="0" w:line="240" w:lineRule="auto"/>
        <w:ind w:left="644"/>
        <w:rPr>
          <w:rFonts w:ascii="Arial" w:hAnsi="Arial" w:cs="Arial"/>
          <w:sz w:val="18"/>
          <w:szCs w:val="18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7E7C1759" w14:textId="1847DC05" w:rsidR="002D45DA" w:rsidRPr="00C35D0A" w:rsidRDefault="00C35D0A" w:rsidP="00AC1E6A">
      <w:pPr>
        <w:spacing w:after="0" w:line="240" w:lineRule="auto"/>
        <w:ind w:firstLine="708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35D0A">
        <w:rPr>
          <w:rFonts w:ascii="Arial" w:hAnsi="Arial" w:cs="Arial"/>
          <w:color w:val="1F3864" w:themeColor="accent5" w:themeShade="80"/>
          <w:sz w:val="18"/>
          <w:szCs w:val="18"/>
        </w:rPr>
        <w:t>A l’issue de la formation, le titulaire est capable de :</w:t>
      </w:r>
    </w:p>
    <w:p w14:paraId="17D06AE9" w14:textId="77777777" w:rsidR="00C35D0A" w:rsidRPr="00C35D0A" w:rsidRDefault="00C35D0A" w:rsidP="00AC1E6A">
      <w:pPr>
        <w:spacing w:after="0" w:line="240" w:lineRule="auto"/>
        <w:ind w:firstLine="708"/>
        <w:rPr>
          <w:rFonts w:ascii="Arial" w:hAnsi="Arial" w:cs="Arial"/>
          <w:color w:val="1F3864" w:themeColor="accent5" w:themeShade="80"/>
          <w:sz w:val="18"/>
          <w:szCs w:val="18"/>
        </w:rPr>
      </w:pPr>
    </w:p>
    <w:p w14:paraId="250B2FBF" w14:textId="599F6525" w:rsidR="00C35D0A" w:rsidRPr="00C35D0A" w:rsidRDefault="00C35D0A" w:rsidP="00C35D0A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35D0A">
        <w:rPr>
          <w:rFonts w:ascii="Arial" w:hAnsi="Arial" w:cs="Arial"/>
          <w:color w:val="1F3864" w:themeColor="accent5" w:themeShade="80"/>
          <w:sz w:val="18"/>
          <w:szCs w:val="18"/>
        </w:rPr>
        <w:t>Développer la relation client et assurer la vente conseil</w:t>
      </w:r>
    </w:p>
    <w:p w14:paraId="52F8177A" w14:textId="0ED45C85" w:rsidR="00C35D0A" w:rsidRPr="00C35D0A" w:rsidRDefault="00C35D0A" w:rsidP="00C35D0A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35D0A">
        <w:rPr>
          <w:rFonts w:ascii="Arial" w:hAnsi="Arial" w:cs="Arial"/>
          <w:color w:val="1F3864" w:themeColor="accent5" w:themeShade="80"/>
          <w:sz w:val="18"/>
          <w:szCs w:val="18"/>
        </w:rPr>
        <w:t>Animer et dynamiser l’offre commerciale</w:t>
      </w:r>
    </w:p>
    <w:p w14:paraId="03EE1D4E" w14:textId="3BB53D7D" w:rsidR="00C35D0A" w:rsidRPr="00C35D0A" w:rsidRDefault="00C35D0A" w:rsidP="00C35D0A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35D0A">
        <w:rPr>
          <w:rFonts w:ascii="Arial" w:hAnsi="Arial" w:cs="Arial"/>
          <w:color w:val="1F3864" w:themeColor="accent5" w:themeShade="80"/>
          <w:sz w:val="18"/>
          <w:szCs w:val="18"/>
        </w:rPr>
        <w:t>Assurer la gestion opérationnelle</w:t>
      </w:r>
    </w:p>
    <w:p w14:paraId="3304B8DB" w14:textId="0E276484" w:rsidR="00C35D0A" w:rsidRPr="00C35D0A" w:rsidRDefault="00C35D0A" w:rsidP="00C35D0A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35D0A">
        <w:rPr>
          <w:rFonts w:ascii="Arial" w:hAnsi="Arial" w:cs="Arial"/>
          <w:color w:val="1F3864" w:themeColor="accent5" w:themeShade="80"/>
          <w:sz w:val="18"/>
          <w:szCs w:val="18"/>
        </w:rPr>
        <w:t>Manager l’équipe commerciale</w:t>
      </w:r>
    </w:p>
    <w:p w14:paraId="0F8568A3" w14:textId="77777777" w:rsidR="00D648C9" w:rsidRPr="00D648C9" w:rsidRDefault="00D648C9" w:rsidP="00D648C9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6CC8F00" w14:textId="2AC13EB2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C</w:t>
      </w:r>
      <w:r w:rsidRPr="00752B96">
        <w:rPr>
          <w:rFonts w:ascii="Arial" w:hAnsi="Arial" w:cs="Arial"/>
          <w:color w:val="002060"/>
          <w:sz w:val="18"/>
          <w:szCs w:val="18"/>
        </w:rPr>
        <w:t>onseiller de vente et de services</w:t>
      </w:r>
    </w:p>
    <w:p w14:paraId="3096DEC0" w14:textId="53A070E4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V</w:t>
      </w:r>
      <w:r w:rsidRPr="00752B96">
        <w:rPr>
          <w:rFonts w:ascii="Arial" w:hAnsi="Arial" w:cs="Arial"/>
          <w:color w:val="002060"/>
          <w:sz w:val="18"/>
          <w:szCs w:val="18"/>
        </w:rPr>
        <w:t>endeur/conseil</w:t>
      </w:r>
    </w:p>
    <w:p w14:paraId="26EC26DF" w14:textId="20F97B9D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V</w:t>
      </w:r>
      <w:r w:rsidRPr="00752B96">
        <w:rPr>
          <w:rFonts w:ascii="Arial" w:hAnsi="Arial" w:cs="Arial"/>
          <w:color w:val="002060"/>
          <w:sz w:val="18"/>
          <w:szCs w:val="18"/>
        </w:rPr>
        <w:t>endeur/conseiller e-commerce</w:t>
      </w:r>
    </w:p>
    <w:p w14:paraId="4C9BF88D" w14:textId="355041D1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C</w:t>
      </w:r>
      <w:r w:rsidRPr="00752B96">
        <w:rPr>
          <w:rFonts w:ascii="Arial" w:hAnsi="Arial" w:cs="Arial"/>
          <w:color w:val="002060"/>
          <w:sz w:val="18"/>
          <w:szCs w:val="18"/>
        </w:rPr>
        <w:t>hargé de clientèle</w:t>
      </w:r>
    </w:p>
    <w:p w14:paraId="169B1443" w14:textId="223C0887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C</w:t>
      </w:r>
      <w:r w:rsidRPr="00752B96">
        <w:rPr>
          <w:rFonts w:ascii="Arial" w:hAnsi="Arial" w:cs="Arial"/>
          <w:color w:val="002060"/>
          <w:sz w:val="18"/>
          <w:szCs w:val="18"/>
        </w:rPr>
        <w:t>hargé du service client</w:t>
      </w:r>
    </w:p>
    <w:p w14:paraId="56651C6A" w14:textId="04615EE6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M</w:t>
      </w:r>
      <w:r w:rsidRPr="00752B96">
        <w:rPr>
          <w:rFonts w:ascii="Arial" w:hAnsi="Arial" w:cs="Arial"/>
          <w:color w:val="002060"/>
          <w:sz w:val="18"/>
          <w:szCs w:val="18"/>
        </w:rPr>
        <w:t>archandiseur</w:t>
      </w:r>
    </w:p>
    <w:p w14:paraId="7FFFF2AF" w14:textId="6EF002A6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M</w:t>
      </w:r>
      <w:r w:rsidRPr="00752B96">
        <w:rPr>
          <w:rFonts w:ascii="Arial" w:hAnsi="Arial" w:cs="Arial"/>
          <w:color w:val="002060"/>
          <w:sz w:val="18"/>
          <w:szCs w:val="18"/>
        </w:rPr>
        <w:t>anageur adjoint</w:t>
      </w:r>
    </w:p>
    <w:p w14:paraId="190E1E29" w14:textId="5830D887" w:rsidR="00AC1E6A" w:rsidRPr="00752B96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Se</w:t>
      </w:r>
      <w:r w:rsidRPr="00752B96">
        <w:rPr>
          <w:rFonts w:ascii="Arial" w:hAnsi="Arial" w:cs="Arial"/>
          <w:color w:val="002060"/>
          <w:sz w:val="18"/>
          <w:szCs w:val="18"/>
        </w:rPr>
        <w:t>cond de rayon</w:t>
      </w:r>
    </w:p>
    <w:p w14:paraId="4DA7C4AA" w14:textId="5486B113" w:rsidR="00AC1E6A" w:rsidRDefault="00AC1E6A" w:rsidP="00AC1E6A">
      <w:pPr>
        <w:pStyle w:val="Paragraphedeliste"/>
        <w:spacing w:after="0" w:line="240" w:lineRule="exact"/>
        <w:ind w:left="646"/>
        <w:rPr>
          <w:rFonts w:ascii="Arial" w:hAnsi="Arial" w:cs="Arial"/>
          <w:color w:val="002060"/>
          <w:sz w:val="18"/>
          <w:szCs w:val="18"/>
        </w:rPr>
      </w:pPr>
      <w:r w:rsidRPr="00752B96">
        <w:rPr>
          <w:rFonts w:ascii="Arial" w:hAnsi="Arial" w:cs="Arial"/>
          <w:color w:val="002060"/>
          <w:sz w:val="18"/>
          <w:szCs w:val="18"/>
        </w:rPr>
        <w:t xml:space="preserve">• </w:t>
      </w:r>
      <w:r>
        <w:rPr>
          <w:rFonts w:ascii="Arial" w:hAnsi="Arial" w:cs="Arial"/>
          <w:color w:val="002060"/>
          <w:sz w:val="18"/>
          <w:szCs w:val="18"/>
        </w:rPr>
        <w:t>M</w:t>
      </w:r>
      <w:r w:rsidRPr="00752B96">
        <w:rPr>
          <w:rFonts w:ascii="Arial" w:hAnsi="Arial" w:cs="Arial"/>
          <w:color w:val="002060"/>
          <w:sz w:val="18"/>
          <w:szCs w:val="18"/>
        </w:rPr>
        <w:t>anageur d’une unité commerciale de proximité</w:t>
      </w:r>
      <w:r w:rsidRPr="00655AFA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0F6A4730" w14:textId="77777777" w:rsidR="00D648C9" w:rsidRPr="00D648C9" w:rsidRDefault="00D648C9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61FBA6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5A3E71A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29452CCA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>et sans limite d’âge (contrat de professionnalisation uniquement)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33E14D30" w:rsidR="00281B06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2307810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387AC72B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2468A031" w14:textId="77777777" w:rsidR="00B3622A" w:rsidRDefault="00B3622A" w:rsidP="00B3622A">
      <w:pPr>
        <w:pStyle w:val="Paragraphedeliste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Accès Être titulaire d’un diplôme de niveau IV</w:t>
      </w:r>
    </w:p>
    <w:p w14:paraId="7597CC05" w14:textId="77777777" w:rsidR="00A740E5" w:rsidRPr="00D648C9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E006A8E" w14:textId="62B2B5C3" w:rsidR="0021795E" w:rsidRDefault="001245D2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46865">
        <w:rPr>
          <w:rFonts w:ascii="Arial" w:hAnsi="Arial" w:cs="Arial"/>
          <w:color w:val="002060"/>
          <w:sz w:val="18"/>
          <w:szCs w:val="18"/>
        </w:rPr>
        <w:t>1200 heures sur 2 ans</w:t>
      </w:r>
      <w:r>
        <w:rPr>
          <w:rFonts w:ascii="Arial" w:hAnsi="Arial" w:cs="Arial"/>
          <w:color w:val="002060"/>
          <w:sz w:val="18"/>
          <w:szCs w:val="18"/>
        </w:rPr>
        <w:t xml:space="preserve"> en contrat de professionnalisation ou 1350 h en contrat d’apprentissage sur 2 ans</w:t>
      </w:r>
    </w:p>
    <w:p w14:paraId="7CF3D6AC" w14:textId="77777777" w:rsidR="001245D2" w:rsidRPr="001245D2" w:rsidRDefault="001245D2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lastRenderedPageBreak/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1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CA5121F" w14:textId="484D7591" w:rsidR="0021795E" w:rsidRPr="000960F4" w:rsidRDefault="001245D2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  <w:r w:rsidRPr="001245D2">
        <w:rPr>
          <w:rFonts w:ascii="Arial" w:hAnsi="Arial" w:cs="Arial"/>
          <w:noProof/>
          <w:color w:val="00206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D3E76A9" wp14:editId="14DE7FD2">
                <wp:simplePos x="0" y="0"/>
                <wp:positionH relativeFrom="margin">
                  <wp:posOffset>3159760</wp:posOffset>
                </wp:positionH>
                <wp:positionV relativeFrom="paragraph">
                  <wp:posOffset>11430</wp:posOffset>
                </wp:positionV>
                <wp:extent cx="3095625" cy="18669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58F8" w14:textId="1F59C3F8" w:rsidR="001245D2" w:rsidRPr="001245D2" w:rsidRDefault="001245D2" w:rsidP="001245D2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245D2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Matières générales et savoirs associés</w:t>
                            </w:r>
                          </w:p>
                          <w:p w14:paraId="20DBED2D" w14:textId="77777777" w:rsidR="001245D2" w:rsidRPr="008B1D27" w:rsidRDefault="001245D2" w:rsidP="001245D2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30268AF9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Culture générale et expression</w:t>
                            </w:r>
                          </w:p>
                          <w:p w14:paraId="51AE5211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Langue vivante étrangère</w:t>
                            </w:r>
                          </w:p>
                          <w:p w14:paraId="278F2753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Economie-Droit</w:t>
                            </w:r>
                          </w:p>
                          <w:p w14:paraId="39E46A21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Management des Unités commerciales</w:t>
                            </w:r>
                          </w:p>
                          <w:p w14:paraId="0AC838B3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Mercatique</w:t>
                            </w:r>
                          </w:p>
                          <w:p w14:paraId="3E33F428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Gestion des Unités commerciales</w:t>
                            </w:r>
                          </w:p>
                          <w:p w14:paraId="6A2A8728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Communication</w:t>
                            </w:r>
                          </w:p>
                          <w:p w14:paraId="7C90078F" w14:textId="77777777" w:rsidR="001245D2" w:rsidRPr="008B1D27" w:rsidRDefault="001245D2" w:rsidP="00124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1D27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• Informatique commerciale</w:t>
                            </w:r>
                          </w:p>
                          <w:p w14:paraId="6F01515C" w14:textId="2964E960" w:rsidR="001245D2" w:rsidRDefault="00124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76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8pt;margin-top:.9pt;width:243.75pt;height:14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" stroked="f">
                <v:textbox>
                  <w:txbxContent>
                    <w:p w14:paraId="1EC258F8" w14:textId="1F59C3F8" w:rsidR="001245D2" w:rsidRPr="001245D2" w:rsidRDefault="001245D2" w:rsidP="001245D2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245D2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Matières générales et savoirs associés</w:t>
                      </w:r>
                    </w:p>
                    <w:p w14:paraId="20DBED2D" w14:textId="77777777" w:rsidR="001245D2" w:rsidRPr="008B1D27" w:rsidRDefault="001245D2" w:rsidP="001245D2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30268AF9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Culture générale et expression</w:t>
                      </w:r>
                    </w:p>
                    <w:p w14:paraId="51AE5211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Langue vivante étrangère</w:t>
                      </w:r>
                    </w:p>
                    <w:p w14:paraId="278F2753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Economie-Droit</w:t>
                      </w:r>
                    </w:p>
                    <w:p w14:paraId="39E46A21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Management des Unités commerciales</w:t>
                      </w:r>
                    </w:p>
                    <w:p w14:paraId="0AC838B3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Mercatique</w:t>
                      </w:r>
                    </w:p>
                    <w:p w14:paraId="3E33F428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Gestion des Unités commerciales</w:t>
                      </w:r>
                    </w:p>
                    <w:p w14:paraId="6A2A8728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Communication</w:t>
                      </w:r>
                    </w:p>
                    <w:p w14:paraId="7C90078F" w14:textId="77777777" w:rsidR="001245D2" w:rsidRPr="008B1D27" w:rsidRDefault="001245D2" w:rsidP="001245D2">
                      <w:pPr>
                        <w:spacing w:after="0" w:line="36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B1D27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• Informatique commerciale</w:t>
                      </w:r>
                    </w:p>
                    <w:p w14:paraId="6F01515C" w14:textId="2964E960" w:rsidR="001245D2" w:rsidRDefault="001245D2"/>
                  </w:txbxContent>
                </v:textbox>
                <w10:wrap anchorx="margin"/>
              </v:shape>
            </w:pict>
          </mc:Fallback>
        </mc:AlternateContent>
      </w:r>
    </w:p>
    <w:p w14:paraId="12635137" w14:textId="77777777" w:rsidR="001245D2" w:rsidRPr="001245D2" w:rsidRDefault="001245D2" w:rsidP="001245D2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1245D2">
        <w:rPr>
          <w:rFonts w:ascii="Arial" w:hAnsi="Arial" w:cs="Arial"/>
          <w:b/>
          <w:color w:val="002060"/>
          <w:sz w:val="18"/>
          <w:szCs w:val="18"/>
        </w:rPr>
        <w:t>Compétences professionnelles</w:t>
      </w:r>
    </w:p>
    <w:p w14:paraId="072F619B" w14:textId="17703FD4" w:rsidR="001245D2" w:rsidRPr="008B1D27" w:rsidRDefault="001245D2" w:rsidP="001245D2">
      <w:pPr>
        <w:spacing w:after="0" w:line="36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3FC03ABF" w14:textId="2F2C3786" w:rsidR="001245D2" w:rsidRDefault="001245D2" w:rsidP="001245D2">
      <w:pPr>
        <w:spacing w:after="0" w:line="360" w:lineRule="auto"/>
        <w:rPr>
          <w:rFonts w:ascii="Arial" w:hAnsi="Arial" w:cs="Arial"/>
          <w:color w:val="002060"/>
          <w:sz w:val="18"/>
          <w:szCs w:val="18"/>
        </w:rPr>
      </w:pPr>
      <w:r w:rsidRPr="008B1D27">
        <w:rPr>
          <w:rFonts w:ascii="Arial" w:hAnsi="Arial" w:cs="Arial"/>
          <w:color w:val="002060"/>
          <w:sz w:val="18"/>
          <w:szCs w:val="18"/>
        </w:rPr>
        <w:t>• Développement de la relation client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B1D27">
        <w:rPr>
          <w:rFonts w:ascii="Arial" w:hAnsi="Arial" w:cs="Arial"/>
          <w:color w:val="002060"/>
          <w:sz w:val="18"/>
          <w:szCs w:val="18"/>
        </w:rPr>
        <w:t>et vente conseil</w:t>
      </w:r>
    </w:p>
    <w:p w14:paraId="4C9A7725" w14:textId="3EDBF253" w:rsidR="001245D2" w:rsidRDefault="001245D2" w:rsidP="001245D2">
      <w:pPr>
        <w:spacing w:after="0" w:line="360" w:lineRule="auto"/>
        <w:rPr>
          <w:rFonts w:ascii="Arial" w:hAnsi="Arial" w:cs="Arial"/>
          <w:color w:val="002060"/>
          <w:sz w:val="18"/>
          <w:szCs w:val="18"/>
        </w:rPr>
      </w:pPr>
      <w:r w:rsidRPr="008B1D27">
        <w:rPr>
          <w:rFonts w:ascii="Arial" w:hAnsi="Arial" w:cs="Arial"/>
          <w:color w:val="002060"/>
          <w:sz w:val="18"/>
          <w:szCs w:val="18"/>
        </w:rPr>
        <w:t>• Animation et dynamisation de l’offre commerciale</w:t>
      </w:r>
    </w:p>
    <w:p w14:paraId="5CD9A466" w14:textId="77777777" w:rsidR="001245D2" w:rsidRDefault="001245D2" w:rsidP="001245D2">
      <w:pPr>
        <w:spacing w:after="0" w:line="360" w:lineRule="auto"/>
        <w:rPr>
          <w:rFonts w:ascii="Arial" w:hAnsi="Arial" w:cs="Arial"/>
          <w:color w:val="002060"/>
          <w:sz w:val="18"/>
          <w:szCs w:val="18"/>
        </w:rPr>
      </w:pPr>
      <w:r w:rsidRPr="008B1D27">
        <w:rPr>
          <w:rFonts w:ascii="Arial" w:hAnsi="Arial" w:cs="Arial"/>
          <w:color w:val="002060"/>
          <w:sz w:val="18"/>
          <w:szCs w:val="18"/>
        </w:rPr>
        <w:t>• Gestion opérationnelle</w:t>
      </w:r>
    </w:p>
    <w:p w14:paraId="2484D4B8" w14:textId="702DC222" w:rsidR="001245D2" w:rsidRDefault="001245D2" w:rsidP="001245D2">
      <w:pPr>
        <w:spacing w:after="0" w:line="360" w:lineRule="auto"/>
        <w:rPr>
          <w:rFonts w:ascii="Arial" w:hAnsi="Arial" w:cs="Arial"/>
          <w:color w:val="002060"/>
          <w:sz w:val="18"/>
          <w:szCs w:val="18"/>
        </w:rPr>
      </w:pPr>
      <w:r w:rsidRPr="008B1D27">
        <w:rPr>
          <w:rFonts w:ascii="Arial" w:hAnsi="Arial" w:cs="Arial"/>
          <w:color w:val="002060"/>
          <w:sz w:val="18"/>
          <w:szCs w:val="18"/>
        </w:rPr>
        <w:t>• Management de l’équipe commerciale</w:t>
      </w:r>
    </w:p>
    <w:p w14:paraId="16E14D65" w14:textId="77777777" w:rsidR="001245D2" w:rsidRPr="008B1D27" w:rsidRDefault="001245D2" w:rsidP="001245D2">
      <w:pPr>
        <w:spacing w:after="0" w:line="360" w:lineRule="auto"/>
        <w:rPr>
          <w:rFonts w:ascii="Arial" w:hAnsi="Arial" w:cs="Arial"/>
          <w:color w:val="002060"/>
          <w:sz w:val="18"/>
          <w:szCs w:val="18"/>
        </w:rPr>
      </w:pPr>
      <w:r w:rsidRPr="008B1D27">
        <w:rPr>
          <w:rFonts w:ascii="Arial" w:hAnsi="Arial" w:cs="Arial"/>
          <w:color w:val="002060"/>
          <w:sz w:val="18"/>
          <w:szCs w:val="18"/>
        </w:rPr>
        <w:t>• Développement de l’omnicanal</w:t>
      </w:r>
    </w:p>
    <w:p w14:paraId="5C62D828" w14:textId="06757EB9" w:rsidR="001245D2" w:rsidRDefault="001245D2" w:rsidP="001245D2">
      <w:pPr>
        <w:pStyle w:val="Paragraphedeliste"/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648B28A4" w14:textId="77777777" w:rsidR="00B3622A" w:rsidRDefault="00B3622A" w:rsidP="001245D2">
      <w:pPr>
        <w:pStyle w:val="Paragraphedeliste"/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22D087FE" w14:textId="7F56AB22" w:rsidR="00281B06" w:rsidRDefault="00281B06" w:rsidP="00852957">
      <w:pPr>
        <w:pStyle w:val="Paragraphedeliste"/>
        <w:spacing w:after="0" w:line="240" w:lineRule="auto"/>
        <w:ind w:left="765"/>
        <w:rPr>
          <w:rFonts w:ascii="Arial" w:hAnsi="Arial" w:cs="Arial"/>
          <w:b/>
          <w:color w:val="002060"/>
          <w:sz w:val="18"/>
          <w:szCs w:val="18"/>
        </w:rPr>
      </w:pPr>
    </w:p>
    <w:p w14:paraId="5D1FB9A9" w14:textId="25227A36" w:rsidR="001245D2" w:rsidRPr="001245D2" w:rsidRDefault="001245D2" w:rsidP="001245D2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36B74016" w14:textId="77777777" w:rsidR="001245D2" w:rsidRPr="001245D2" w:rsidRDefault="001245D2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F4F7F88" w14:textId="77777777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DF5AA0">
        <w:rPr>
          <w:rFonts w:ascii="Arial" w:hAnsi="Arial" w:cs="Arial"/>
          <w:color w:val="002060"/>
          <w:sz w:val="18"/>
          <w:szCs w:val="18"/>
        </w:rPr>
        <w:t>5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 + 2</w:t>
      </w:r>
    </w:p>
    <w:p w14:paraId="57FC6EE5" w14:textId="20254D98" w:rsidR="00D30D8A" w:rsidRPr="001936FE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1936FE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E323CB" w:rsidRPr="001936FE">
        <w:rPr>
          <w:rFonts w:ascii="Arial" w:hAnsi="Arial" w:cs="Arial"/>
          <w:color w:val="1F3864" w:themeColor="accent5" w:themeShade="80"/>
          <w:sz w:val="18"/>
          <w:szCs w:val="18"/>
        </w:rPr>
        <w:t>34031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09107240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4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77777777" w:rsidR="00D30D8A" w:rsidRDefault="00D30D8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Etudiant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9F6"/>
    <w:multiLevelType w:val="hybridMultilevel"/>
    <w:tmpl w:val="3E2EE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376AE"/>
    <w:multiLevelType w:val="hybridMultilevel"/>
    <w:tmpl w:val="B7A6DB16"/>
    <w:lvl w:ilvl="0" w:tplc="9A0ADF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23"/>
  </w:num>
  <w:num w:numId="9">
    <w:abstractNumId w:val="26"/>
  </w:num>
  <w:num w:numId="10">
    <w:abstractNumId w:val="16"/>
  </w:num>
  <w:num w:numId="11">
    <w:abstractNumId w:val="4"/>
  </w:num>
  <w:num w:numId="12">
    <w:abstractNumId w:val="20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11"/>
  </w:num>
  <w:num w:numId="18">
    <w:abstractNumId w:val="2"/>
  </w:num>
  <w:num w:numId="19">
    <w:abstractNumId w:val="21"/>
  </w:num>
  <w:num w:numId="20">
    <w:abstractNumId w:val="5"/>
  </w:num>
  <w:num w:numId="21">
    <w:abstractNumId w:val="6"/>
  </w:num>
  <w:num w:numId="22">
    <w:abstractNumId w:val="25"/>
  </w:num>
  <w:num w:numId="23">
    <w:abstractNumId w:val="30"/>
  </w:num>
  <w:num w:numId="24">
    <w:abstractNumId w:val="32"/>
  </w:num>
  <w:num w:numId="25">
    <w:abstractNumId w:val="3"/>
  </w:num>
  <w:num w:numId="26">
    <w:abstractNumId w:val="31"/>
  </w:num>
  <w:num w:numId="27">
    <w:abstractNumId w:val="14"/>
  </w:num>
  <w:num w:numId="28">
    <w:abstractNumId w:val="27"/>
  </w:num>
  <w:num w:numId="29">
    <w:abstractNumId w:val="22"/>
  </w:num>
  <w:num w:numId="30">
    <w:abstractNumId w:val="33"/>
  </w:num>
  <w:num w:numId="31">
    <w:abstractNumId w:val="10"/>
  </w:num>
  <w:num w:numId="32">
    <w:abstractNumId w:val="18"/>
  </w:num>
  <w:num w:numId="33">
    <w:abstractNumId w:val="13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5F55"/>
    <w:rsid w:val="000E4613"/>
    <w:rsid w:val="000F7689"/>
    <w:rsid w:val="00106C1E"/>
    <w:rsid w:val="001245D2"/>
    <w:rsid w:val="00136746"/>
    <w:rsid w:val="00171EDC"/>
    <w:rsid w:val="001936FE"/>
    <w:rsid w:val="001D4539"/>
    <w:rsid w:val="001E68F8"/>
    <w:rsid w:val="00201481"/>
    <w:rsid w:val="00212E3E"/>
    <w:rsid w:val="00215EE3"/>
    <w:rsid w:val="0021795E"/>
    <w:rsid w:val="0027479E"/>
    <w:rsid w:val="00277539"/>
    <w:rsid w:val="00281B06"/>
    <w:rsid w:val="00286FC8"/>
    <w:rsid w:val="002B6BF8"/>
    <w:rsid w:val="002D45DA"/>
    <w:rsid w:val="00300CFC"/>
    <w:rsid w:val="00311ECF"/>
    <w:rsid w:val="0033597C"/>
    <w:rsid w:val="00337F1C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515B5"/>
    <w:rsid w:val="005637B3"/>
    <w:rsid w:val="005645B4"/>
    <w:rsid w:val="005977C5"/>
    <w:rsid w:val="005B102C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C1060"/>
    <w:rsid w:val="007E4628"/>
    <w:rsid w:val="007F7B6C"/>
    <w:rsid w:val="00802DC4"/>
    <w:rsid w:val="00813A35"/>
    <w:rsid w:val="00817FEB"/>
    <w:rsid w:val="00852957"/>
    <w:rsid w:val="00862FB8"/>
    <w:rsid w:val="0087254B"/>
    <w:rsid w:val="00885D75"/>
    <w:rsid w:val="00896CAB"/>
    <w:rsid w:val="008D4BC7"/>
    <w:rsid w:val="008F2A41"/>
    <w:rsid w:val="008F78C9"/>
    <w:rsid w:val="00914027"/>
    <w:rsid w:val="00916767"/>
    <w:rsid w:val="0092062C"/>
    <w:rsid w:val="00943A6D"/>
    <w:rsid w:val="0095748D"/>
    <w:rsid w:val="009A77FE"/>
    <w:rsid w:val="009B76B0"/>
    <w:rsid w:val="009D1387"/>
    <w:rsid w:val="009E3DDA"/>
    <w:rsid w:val="009F0D90"/>
    <w:rsid w:val="009F3C08"/>
    <w:rsid w:val="009F6DFE"/>
    <w:rsid w:val="00A03399"/>
    <w:rsid w:val="00A13DE1"/>
    <w:rsid w:val="00A20188"/>
    <w:rsid w:val="00A70AD6"/>
    <w:rsid w:val="00A73FC4"/>
    <w:rsid w:val="00A740E5"/>
    <w:rsid w:val="00A80D34"/>
    <w:rsid w:val="00A90CA5"/>
    <w:rsid w:val="00AC1E6A"/>
    <w:rsid w:val="00B10908"/>
    <w:rsid w:val="00B3622A"/>
    <w:rsid w:val="00B36717"/>
    <w:rsid w:val="00B41495"/>
    <w:rsid w:val="00B64285"/>
    <w:rsid w:val="00B73262"/>
    <w:rsid w:val="00B8443C"/>
    <w:rsid w:val="00BB396E"/>
    <w:rsid w:val="00BB783F"/>
    <w:rsid w:val="00BC53EF"/>
    <w:rsid w:val="00BC7180"/>
    <w:rsid w:val="00BF1AC4"/>
    <w:rsid w:val="00BF6B4D"/>
    <w:rsid w:val="00C10911"/>
    <w:rsid w:val="00C25156"/>
    <w:rsid w:val="00C35D0A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44C55"/>
    <w:rsid w:val="00D624EC"/>
    <w:rsid w:val="00D648C9"/>
    <w:rsid w:val="00D8148D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323CB"/>
    <w:rsid w:val="00E62FB6"/>
    <w:rsid w:val="00E66A9D"/>
    <w:rsid w:val="00EA0AA7"/>
    <w:rsid w:val="00EB53E8"/>
    <w:rsid w:val="00EE4347"/>
    <w:rsid w:val="00F9151F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3B03-F4B8-4DCB-AF82-1EEF099E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14</cp:revision>
  <cp:lastPrinted>2020-10-22T06:00:00Z</cp:lastPrinted>
  <dcterms:created xsi:type="dcterms:W3CDTF">2021-01-05T14:24:00Z</dcterms:created>
  <dcterms:modified xsi:type="dcterms:W3CDTF">2021-03-04T10:24:00Z</dcterms:modified>
</cp:coreProperties>
</file>