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39C" w14:textId="0A05DD13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3E7AA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E6" w:rsidRPr="00E245E6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E245E6">
        <w:rPr>
          <w:rFonts w:ascii="Arial" w:hAnsi="Arial" w:cs="Arial"/>
          <w:b/>
          <w:color w:val="FF0000"/>
          <w:sz w:val="28"/>
          <w:szCs w:val="36"/>
        </w:rPr>
        <w:t>VENDEUR (SE) CONSEILLER (ERE) COMMERCIAL (E)</w:t>
      </w:r>
    </w:p>
    <w:p w14:paraId="0AE6DBF8" w14:textId="3B716852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E77A97">
        <w:rPr>
          <w:rFonts w:ascii="Arial" w:hAnsi="Arial" w:cs="Arial"/>
          <w:b/>
          <w:color w:val="FF0000"/>
          <w:sz w:val="28"/>
          <w:szCs w:val="36"/>
        </w:rPr>
        <w:t>4</w:t>
      </w:r>
    </w:p>
    <w:p w14:paraId="559179D5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48FBB7D2" w14:textId="77777777" w:rsidR="0046310F" w:rsidRDefault="0046310F" w:rsidP="00662802">
      <w:pPr>
        <w:spacing w:after="0"/>
        <w:jc w:val="right"/>
        <w:rPr>
          <w:noProof/>
        </w:rPr>
      </w:pPr>
    </w:p>
    <w:p w14:paraId="7BC7CC27" w14:textId="03C7B15C" w:rsidR="00662802" w:rsidRDefault="007A0343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EEBD43D" wp14:editId="59E8523A">
            <wp:simplePos x="0" y="0"/>
            <wp:positionH relativeFrom="column">
              <wp:posOffset>5133975</wp:posOffset>
            </wp:positionH>
            <wp:positionV relativeFrom="paragraph">
              <wp:posOffset>34925</wp:posOffset>
            </wp:positionV>
            <wp:extent cx="1428750" cy="12255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20C">
        <w:rPr>
          <w:noProof/>
        </w:rPr>
        <w:drawing>
          <wp:inline distT="0" distB="0" distL="0" distR="0" wp14:anchorId="017B39E0" wp14:editId="6F680131">
            <wp:extent cx="1552085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67" cy="1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F1C"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4883FDC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1C"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77777777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3B859375" w:rsidR="0049746A" w:rsidRPr="00311ECF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156B7B">
        <w:rPr>
          <w:rFonts w:ascii="Arial" w:hAnsi="Arial" w:cs="Arial"/>
          <w:b/>
          <w:color w:val="002060"/>
          <w:szCs w:val="28"/>
        </w:rPr>
        <w:t>D1212-D1401-D1408-D1403-D1214</w:t>
      </w:r>
    </w:p>
    <w:p w14:paraId="538202F9" w14:textId="378E9FE1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7E1349">
        <w:rPr>
          <w:rFonts w:ascii="Arial" w:hAnsi="Arial" w:cs="Arial"/>
          <w:b/>
          <w:color w:val="002060"/>
          <w:szCs w:val="28"/>
        </w:rPr>
        <w:t>248495</w:t>
      </w:r>
    </w:p>
    <w:p w14:paraId="3DB8F5FB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648C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4F68BDC" w14:textId="21BA5919" w:rsidR="00546228" w:rsidRPr="00546228" w:rsidRDefault="00546228" w:rsidP="00546228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Le vendeur conseiller commercial collecte les informations qui permettent de prendre en compte dans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546228">
        <w:rPr>
          <w:rFonts w:ascii="Arial" w:hAnsi="Arial" w:cs="Arial"/>
          <w:color w:val="002060"/>
          <w:sz w:val="18"/>
          <w:szCs w:val="18"/>
        </w:rPr>
        <w:t>son acte de vente : la structure dans laquelle il travaille, son secteur d’activité, ses produits au regard de la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546228">
        <w:rPr>
          <w:rFonts w:ascii="Arial" w:hAnsi="Arial" w:cs="Arial"/>
          <w:color w:val="002060"/>
          <w:sz w:val="18"/>
          <w:szCs w:val="18"/>
        </w:rPr>
        <w:t>concurrence, le profil et les comportements d’achats de ses clients…</w:t>
      </w:r>
    </w:p>
    <w:p w14:paraId="12488853" w14:textId="77777777" w:rsidR="000140D9" w:rsidRPr="00D648C9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06E5329" w14:textId="494F0909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636AF880" w14:textId="54795E32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V</w:t>
      </w:r>
      <w:r w:rsidRPr="009F25EC">
        <w:rPr>
          <w:rFonts w:ascii="Arial" w:hAnsi="Arial" w:cs="Arial"/>
          <w:color w:val="002060"/>
          <w:sz w:val="18"/>
          <w:szCs w:val="18"/>
        </w:rPr>
        <w:t>érifi</w:t>
      </w:r>
      <w:r>
        <w:rPr>
          <w:rFonts w:ascii="Arial" w:hAnsi="Arial" w:cs="Arial"/>
          <w:color w:val="002060"/>
          <w:sz w:val="18"/>
          <w:szCs w:val="18"/>
        </w:rPr>
        <w:t>er</w:t>
      </w:r>
      <w:r w:rsidRPr="009F25EC">
        <w:rPr>
          <w:rFonts w:ascii="Arial" w:hAnsi="Arial" w:cs="Arial"/>
          <w:color w:val="002060"/>
          <w:sz w:val="18"/>
          <w:szCs w:val="18"/>
        </w:rPr>
        <w:t xml:space="preserve"> la disponibilité des produits,</w:t>
      </w:r>
    </w:p>
    <w:p w14:paraId="19CC219E" w14:textId="530BF89F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Mettre</w:t>
      </w:r>
      <w:r w:rsidRPr="009F25EC">
        <w:rPr>
          <w:rFonts w:ascii="Arial" w:hAnsi="Arial" w:cs="Arial"/>
          <w:color w:val="002060"/>
          <w:sz w:val="18"/>
          <w:szCs w:val="18"/>
        </w:rPr>
        <w:t xml:space="preserve"> en place les éléments du merchandising</w:t>
      </w:r>
    </w:p>
    <w:p w14:paraId="47325914" w14:textId="75930CD9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Assurer</w:t>
      </w:r>
      <w:r w:rsidRPr="009F25EC">
        <w:rPr>
          <w:rFonts w:ascii="Arial" w:hAnsi="Arial" w:cs="Arial"/>
          <w:color w:val="002060"/>
          <w:sz w:val="18"/>
          <w:szCs w:val="18"/>
        </w:rPr>
        <w:t xml:space="preserve"> la prospection de nouveaux clients</w:t>
      </w:r>
    </w:p>
    <w:p w14:paraId="71903452" w14:textId="2C0DD971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</w:t>
      </w:r>
      <w:r w:rsidRPr="009F25EC">
        <w:rPr>
          <w:rFonts w:ascii="Arial" w:hAnsi="Arial" w:cs="Arial"/>
          <w:color w:val="002060"/>
          <w:sz w:val="18"/>
          <w:szCs w:val="18"/>
        </w:rPr>
        <w:t>articip</w:t>
      </w:r>
      <w:r>
        <w:rPr>
          <w:rFonts w:ascii="Arial" w:hAnsi="Arial" w:cs="Arial"/>
          <w:color w:val="002060"/>
          <w:sz w:val="18"/>
          <w:szCs w:val="18"/>
        </w:rPr>
        <w:t>er</w:t>
      </w:r>
      <w:r w:rsidRPr="009F25EC">
        <w:rPr>
          <w:rFonts w:ascii="Arial" w:hAnsi="Arial" w:cs="Arial"/>
          <w:color w:val="002060"/>
          <w:sz w:val="18"/>
          <w:szCs w:val="18"/>
        </w:rPr>
        <w:t xml:space="preserve"> à la promotion des produits et des services, dans le respect de la réglementation et des</w:t>
      </w:r>
    </w:p>
    <w:p w14:paraId="443428BF" w14:textId="13CB7349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</w:t>
      </w:r>
      <w:r w:rsidRPr="009F25EC">
        <w:rPr>
          <w:rFonts w:ascii="Arial" w:hAnsi="Arial" w:cs="Arial"/>
          <w:color w:val="002060"/>
          <w:sz w:val="18"/>
          <w:szCs w:val="18"/>
        </w:rPr>
        <w:t>xigences sociales et économiques du développement durable</w:t>
      </w:r>
    </w:p>
    <w:p w14:paraId="200C0413" w14:textId="77777777" w:rsidR="00546228" w:rsidRPr="009F25EC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Il conseille en face à face, à distance, en magasin, sur show-room… un prospect ou un client, et remporte</w:t>
      </w:r>
    </w:p>
    <w:p w14:paraId="0F807971" w14:textId="0FDB69A7" w:rsidR="00546228" w:rsidRPr="00546228" w:rsidRDefault="00546228" w:rsidP="00546228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U</w:t>
      </w:r>
      <w:r w:rsidRPr="009F25EC">
        <w:rPr>
          <w:rFonts w:ascii="Arial" w:hAnsi="Arial" w:cs="Arial"/>
          <w:color w:val="002060"/>
          <w:sz w:val="18"/>
          <w:szCs w:val="18"/>
        </w:rPr>
        <w:t xml:space="preserve">ne vente en </w:t>
      </w:r>
      <w:r w:rsidRPr="00546228">
        <w:rPr>
          <w:rFonts w:ascii="Arial" w:hAnsi="Arial" w:cs="Arial"/>
          <w:color w:val="002060"/>
          <w:sz w:val="18"/>
          <w:szCs w:val="18"/>
        </w:rPr>
        <w:t>discernant ses besoins et ses motivations</w:t>
      </w:r>
      <w:r>
        <w:rPr>
          <w:rFonts w:ascii="Arial" w:hAnsi="Arial" w:cs="Arial"/>
          <w:color w:val="002060"/>
          <w:sz w:val="18"/>
          <w:szCs w:val="18"/>
        </w:rPr>
        <w:t xml:space="preserve"> et en </w:t>
      </w:r>
      <w:r w:rsidRPr="00546228">
        <w:rPr>
          <w:rFonts w:ascii="Arial" w:hAnsi="Arial" w:cs="Arial"/>
          <w:color w:val="002060"/>
          <w:sz w:val="18"/>
          <w:szCs w:val="18"/>
        </w:rPr>
        <w:t>déployant les techniques de vente adaptées</w:t>
      </w:r>
    </w:p>
    <w:p w14:paraId="0F8568A3" w14:textId="77777777" w:rsidR="00D648C9" w:rsidRPr="00D648C9" w:rsidRDefault="00D648C9" w:rsidP="00D648C9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4FFE64E" w14:textId="58414FEC" w:rsidR="00546228" w:rsidRPr="009F25EC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Vendeur, vendeur spécialisé • Commercial</w:t>
      </w:r>
    </w:p>
    <w:p w14:paraId="15D71812" w14:textId="1AB59525" w:rsidR="00546228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 xml:space="preserve">Employé commercial </w:t>
      </w:r>
    </w:p>
    <w:p w14:paraId="28330A51" w14:textId="1D7FAAE0" w:rsidR="00546228" w:rsidRPr="009F25EC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Téléconseiller</w:t>
      </w:r>
    </w:p>
    <w:p w14:paraId="1215E021" w14:textId="2A09BDB6" w:rsidR="00546228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 xml:space="preserve">Conseiller commercial </w:t>
      </w:r>
    </w:p>
    <w:p w14:paraId="491F7FF2" w14:textId="0B2D59E7" w:rsidR="00546228" w:rsidRPr="009F25EC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Technico-commercial</w:t>
      </w:r>
    </w:p>
    <w:p w14:paraId="587C3B6F" w14:textId="18A14D1C" w:rsidR="00546228" w:rsidRPr="00655AFA" w:rsidRDefault="00546228" w:rsidP="00546228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Assistant commercial</w:t>
      </w:r>
    </w:p>
    <w:p w14:paraId="0F6A4730" w14:textId="77777777" w:rsidR="00D648C9" w:rsidRPr="00D648C9" w:rsidRDefault="00D648C9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5A3E71AF" w14:textId="0CC32A47" w:rsidR="0021795E" w:rsidRPr="00546228" w:rsidRDefault="0021795E" w:rsidP="00546228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0B85AD39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>et sans limite d’âge (contrat de professionnalisation uniquement)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3591DB10" w:rsidR="00281B06" w:rsidRDefault="002E79F6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Étudiants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87AC72B" w14:textId="3639A2C9" w:rsidR="0021795E" w:rsidRPr="00546228" w:rsidRDefault="0021795E" w:rsidP="00546228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29457DCD" w14:textId="23645F8C" w:rsidR="002E79F6" w:rsidRPr="002E79F6" w:rsidRDefault="002E79F6" w:rsidP="002E79F6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Jeunes de moins de 30 ans en formation professionnelle, initiale ou continue :</w:t>
      </w:r>
    </w:p>
    <w:p w14:paraId="69F7E821" w14:textId="7FC2D1C6" w:rsidR="002E79F6" w:rsidRPr="002E79F6" w:rsidRDefault="002E79F6" w:rsidP="002E79F6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Titulaires d’un niveau III (CAP ou BEP) validé ou nouvelle orientation à l’issue d’une seconde menée à son terme</w:t>
      </w:r>
    </w:p>
    <w:p w14:paraId="66911ED7" w14:textId="77777777" w:rsidR="002E79F6" w:rsidRPr="002E79F6" w:rsidRDefault="002E79F6" w:rsidP="002E79F6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et avoir satisfait aux épreuves de sélection de l’établissement</w:t>
      </w:r>
    </w:p>
    <w:p w14:paraId="68590AAD" w14:textId="063AC598" w:rsidR="002E79F6" w:rsidRPr="002E79F6" w:rsidRDefault="002E79F6" w:rsidP="002E79F6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Pour les adultes en formation professionnelle continue :</w:t>
      </w:r>
    </w:p>
    <w:p w14:paraId="3AFB7041" w14:textId="77777777" w:rsidR="002E79F6" w:rsidRPr="002E79F6" w:rsidRDefault="002E79F6" w:rsidP="002E79F6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Justifier d’une expérience professionnelle d’au moins 1 an dans les métiers de la relation clients</w:t>
      </w:r>
    </w:p>
    <w:p w14:paraId="56F7A593" w14:textId="1F54BB33" w:rsidR="00281B06" w:rsidRPr="002E79F6" w:rsidRDefault="002E79F6" w:rsidP="002E79F6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E79F6">
        <w:rPr>
          <w:rFonts w:ascii="Arial" w:hAnsi="Arial" w:cs="Arial"/>
          <w:color w:val="002060"/>
          <w:sz w:val="18"/>
          <w:szCs w:val="18"/>
        </w:rPr>
        <w:t>et avoir satisfait aux épreuves de sélection de l’établissement</w:t>
      </w:r>
    </w:p>
    <w:p w14:paraId="7597CC05" w14:textId="77777777" w:rsidR="00A740E5" w:rsidRPr="002E79F6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1EF00AE5" w14:textId="77777777" w:rsidR="00546228" w:rsidRPr="009F25EC" w:rsidRDefault="00546228" w:rsidP="00546228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490 heures d’enseignement théorique sur 1 an</w:t>
      </w:r>
    </w:p>
    <w:p w14:paraId="6E0B2E69" w14:textId="0EDC8099" w:rsidR="00D34BF0" w:rsidRPr="00546228" w:rsidRDefault="00546228" w:rsidP="00546228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Contrat d’apprentissage et contrat de professionnalisation</w:t>
      </w:r>
    </w:p>
    <w:p w14:paraId="3E006A8E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15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CA5121F" w14:textId="77777777" w:rsidR="0021795E" w:rsidRPr="000960F4" w:rsidRDefault="0021795E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608CAD6" w14:textId="77777777" w:rsidR="00546228" w:rsidRPr="00546228" w:rsidRDefault="00546228" w:rsidP="00BC2E61">
      <w:pPr>
        <w:pStyle w:val="Paragraphedeliste"/>
        <w:numPr>
          <w:ilvl w:val="0"/>
          <w:numId w:val="19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546228">
        <w:rPr>
          <w:rFonts w:ascii="Arial" w:hAnsi="Arial" w:cs="Arial"/>
          <w:b/>
          <w:color w:val="002060"/>
          <w:sz w:val="18"/>
          <w:szCs w:val="18"/>
        </w:rPr>
        <w:t>Bloc A - Promouvoir, conseiller et vendre</w:t>
      </w:r>
    </w:p>
    <w:p w14:paraId="0A5A414C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MA1 - Adopter un comportement professionnel</w:t>
      </w:r>
    </w:p>
    <w:p w14:paraId="4387B403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MA2 - Préparer ses ventes</w:t>
      </w:r>
    </w:p>
    <w:p w14:paraId="4811A1CB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MA3 - Conseiller et vendre</w:t>
      </w:r>
    </w:p>
    <w:p w14:paraId="6778C641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MA4 - Maîtriser les calculs commerciaux</w:t>
      </w:r>
    </w:p>
    <w:p w14:paraId="1F5A9FD4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MA5 - Communiquer à l’écrit et à l’oral</w:t>
      </w:r>
    </w:p>
    <w:p w14:paraId="72B25749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MA6 - Utiliser le traitement de texte et les tableurs</w:t>
      </w:r>
    </w:p>
    <w:p w14:paraId="3ECB9277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22BEBE51" w14:textId="77777777" w:rsidR="00546228" w:rsidRPr="00546228" w:rsidRDefault="00546228" w:rsidP="00BC2E61">
      <w:pPr>
        <w:pStyle w:val="Paragraphedeliste"/>
        <w:numPr>
          <w:ilvl w:val="0"/>
          <w:numId w:val="19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546228">
        <w:rPr>
          <w:rFonts w:ascii="Arial" w:hAnsi="Arial" w:cs="Arial"/>
          <w:b/>
          <w:color w:val="002060"/>
          <w:sz w:val="18"/>
          <w:szCs w:val="18"/>
        </w:rPr>
        <w:t>Bloc B - Collaborer à l’aménagement et au bon</w:t>
      </w:r>
    </w:p>
    <w:p w14:paraId="0A97F029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fonctionnement de l’espace de vente</w:t>
      </w:r>
    </w:p>
    <w:p w14:paraId="01E51A5B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MB1 - Participer à la gestion des flux et</w:t>
      </w:r>
    </w:p>
    <w:p w14:paraId="4D30D725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approvisionnements</w:t>
      </w:r>
    </w:p>
    <w:p w14:paraId="65BA8839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MB2 - Respecter la réglementation des prix</w:t>
      </w:r>
    </w:p>
    <w:p w14:paraId="4008E51F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MB3 - Appliquer les règles d’hygiène et de</w:t>
      </w:r>
    </w:p>
    <w:p w14:paraId="304ABE1D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sécurité</w:t>
      </w:r>
    </w:p>
    <w:p w14:paraId="3E6C2EEF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MB4 - Appliquer les techniques de merchandising</w:t>
      </w:r>
    </w:p>
    <w:p w14:paraId="57515CD7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et/ou d’étalage</w:t>
      </w:r>
    </w:p>
    <w:p w14:paraId="67639206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MB5 - Tenir un poste de caisse</w:t>
      </w:r>
    </w:p>
    <w:p w14:paraId="71E5DBED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MB6 - Réaliser un accueil téléphonique</w:t>
      </w:r>
    </w:p>
    <w:p w14:paraId="1A32F495" w14:textId="77777777" w:rsidR="00546228" w:rsidRPr="00546228" w:rsidRDefault="00546228" w:rsidP="00BC2E61">
      <w:pPr>
        <w:pStyle w:val="Paragraphedeliste"/>
        <w:numPr>
          <w:ilvl w:val="0"/>
          <w:numId w:val="19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546228">
        <w:rPr>
          <w:rFonts w:ascii="Arial" w:hAnsi="Arial" w:cs="Arial"/>
          <w:b/>
          <w:color w:val="002060"/>
          <w:sz w:val="18"/>
          <w:szCs w:val="18"/>
        </w:rPr>
        <w:t>Bloc C - Conduire des entretiens téléphoniques</w:t>
      </w:r>
    </w:p>
    <w:p w14:paraId="2FDDB7BF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en plateforme</w:t>
      </w:r>
    </w:p>
    <w:p w14:paraId="67DED607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MC1 - Traiter un appel entrant</w:t>
      </w:r>
    </w:p>
    <w:p w14:paraId="6AC5BADC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MC2 - Traiter un appel sortant</w:t>
      </w:r>
    </w:p>
    <w:p w14:paraId="3E9E6E7A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MC3 - Adapter son comportement à</w:t>
      </w:r>
    </w:p>
    <w:p w14:paraId="5F010F2B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l’environnement d’une plateforme téléphonique</w:t>
      </w:r>
    </w:p>
    <w:p w14:paraId="46AFBE16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5F1C272F" w14:textId="77777777" w:rsidR="00546228" w:rsidRPr="00546228" w:rsidRDefault="00546228" w:rsidP="00BC2E61">
      <w:pPr>
        <w:pStyle w:val="Paragraphedeliste"/>
        <w:numPr>
          <w:ilvl w:val="0"/>
          <w:numId w:val="19"/>
        </w:numPr>
        <w:spacing w:after="0" w:line="240" w:lineRule="auto"/>
        <w:ind w:left="284" w:hanging="426"/>
        <w:rPr>
          <w:rFonts w:ascii="Arial" w:hAnsi="Arial" w:cs="Arial"/>
          <w:b/>
          <w:color w:val="002060"/>
          <w:sz w:val="18"/>
          <w:szCs w:val="18"/>
        </w:rPr>
      </w:pPr>
      <w:r w:rsidRPr="00546228">
        <w:rPr>
          <w:rFonts w:ascii="Arial" w:hAnsi="Arial" w:cs="Arial"/>
          <w:b/>
          <w:color w:val="002060"/>
          <w:sz w:val="18"/>
          <w:szCs w:val="18"/>
        </w:rPr>
        <w:t>Bloc D - Réaliser des actions de prospection</w:t>
      </w:r>
    </w:p>
    <w:p w14:paraId="56182411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MD1 - Utiliser une GRC</w:t>
      </w:r>
    </w:p>
    <w:p w14:paraId="772C92E3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MD2 - Qualifier un fichier clients</w:t>
      </w:r>
    </w:p>
    <w:p w14:paraId="040C1231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MD3 – Appliquer la réglementation à la protection</w:t>
      </w:r>
    </w:p>
    <w:p w14:paraId="5E22A1DD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des données</w:t>
      </w:r>
    </w:p>
    <w:p w14:paraId="71A880BC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MD4 - Réussir la prospection téléphonique</w:t>
      </w:r>
    </w:p>
    <w:p w14:paraId="685FAA40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MD5 - Réussir ses actions de marketing direct</w:t>
      </w:r>
    </w:p>
    <w:p w14:paraId="39134021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MD6 - Optimiser son organisation commerciale</w:t>
      </w:r>
    </w:p>
    <w:p w14:paraId="328FF487" w14:textId="77777777" w:rsidR="00546228" w:rsidRPr="009F25EC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MD7- Gérer un conflit</w:t>
      </w:r>
    </w:p>
    <w:p w14:paraId="57A49DE8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MD8 - Calculer sa rentabilité commerciale</w:t>
      </w:r>
    </w:p>
    <w:p w14:paraId="614AB654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A41A7AF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13CA9F05" w14:textId="77777777" w:rsidR="00546228" w:rsidRDefault="00546228" w:rsidP="0054622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546228" w:rsidSect="009F6DFE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2D087FE" w14:textId="77777777" w:rsidR="00281B06" w:rsidRPr="00D648C9" w:rsidRDefault="00281B06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0"/>
          <w:szCs w:val="10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F4F7F88" w14:textId="31A5549F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317C35">
        <w:rPr>
          <w:rFonts w:ascii="Arial" w:hAnsi="Arial" w:cs="Arial"/>
          <w:color w:val="002060"/>
          <w:sz w:val="18"/>
          <w:szCs w:val="18"/>
        </w:rPr>
        <w:t>4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</w:t>
      </w:r>
    </w:p>
    <w:p w14:paraId="3967803D" w14:textId="77777777" w:rsidR="002E79F6" w:rsidRPr="00425077" w:rsidRDefault="002E79F6" w:rsidP="002E79F6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9F25EC">
        <w:rPr>
          <w:rFonts w:ascii="Arial" w:hAnsi="Arial" w:cs="Arial"/>
          <w:color w:val="002060"/>
          <w:sz w:val="18"/>
          <w:szCs w:val="18"/>
        </w:rPr>
        <w:t>Enregistré au RNCP par arrêté au JO du 21 décembre 2017</w:t>
      </w:r>
    </w:p>
    <w:p w14:paraId="57FC6EE5" w14:textId="52BC95A7" w:rsidR="00D30D8A" w:rsidRPr="00354F51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354F51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354F51" w:rsidRPr="00354F51">
        <w:rPr>
          <w:rFonts w:ascii="Arial" w:hAnsi="Arial" w:cs="Arial"/>
          <w:color w:val="1F3864" w:themeColor="accent5" w:themeShade="80"/>
          <w:sz w:val="18"/>
          <w:szCs w:val="18"/>
        </w:rPr>
        <w:t>23932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7D390B9A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6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1F7BCD24" w:rsidR="00D30D8A" w:rsidRDefault="002E79F6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Étudiant</w:t>
      </w:r>
      <w:r w:rsidR="00D30D8A">
        <w:rPr>
          <w:rFonts w:ascii="Arial" w:hAnsi="Arial" w:cs="Arial"/>
          <w:color w:val="002060"/>
          <w:sz w:val="18"/>
          <w:szCs w:val="18"/>
        </w:rPr>
        <w:t xml:space="preserve">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275"/>
    <w:multiLevelType w:val="hybridMultilevel"/>
    <w:tmpl w:val="92020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370AD"/>
    <w:multiLevelType w:val="hybridMultilevel"/>
    <w:tmpl w:val="E55C9CBE"/>
    <w:lvl w:ilvl="0" w:tplc="6178906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A44"/>
    <w:multiLevelType w:val="hybridMultilevel"/>
    <w:tmpl w:val="120E2A12"/>
    <w:lvl w:ilvl="0" w:tplc="2B0A65B0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756B"/>
    <w:multiLevelType w:val="hybridMultilevel"/>
    <w:tmpl w:val="A7A04F6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10710"/>
    <w:multiLevelType w:val="hybridMultilevel"/>
    <w:tmpl w:val="F0C8E87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23"/>
  </w:num>
  <w:num w:numId="8">
    <w:abstractNumId w:val="27"/>
  </w:num>
  <w:num w:numId="9">
    <w:abstractNumId w:val="30"/>
  </w:num>
  <w:num w:numId="10">
    <w:abstractNumId w:val="20"/>
  </w:num>
  <w:num w:numId="11">
    <w:abstractNumId w:val="5"/>
  </w:num>
  <w:num w:numId="12">
    <w:abstractNumId w:val="24"/>
  </w:num>
  <w:num w:numId="13">
    <w:abstractNumId w:val="19"/>
  </w:num>
  <w:num w:numId="14">
    <w:abstractNumId w:val="21"/>
  </w:num>
  <w:num w:numId="15">
    <w:abstractNumId w:val="16"/>
  </w:num>
  <w:num w:numId="16">
    <w:abstractNumId w:val="32"/>
  </w:num>
  <w:num w:numId="17">
    <w:abstractNumId w:val="15"/>
  </w:num>
  <w:num w:numId="18">
    <w:abstractNumId w:val="2"/>
  </w:num>
  <w:num w:numId="19">
    <w:abstractNumId w:val="25"/>
  </w:num>
  <w:num w:numId="20">
    <w:abstractNumId w:val="7"/>
  </w:num>
  <w:num w:numId="21">
    <w:abstractNumId w:val="9"/>
  </w:num>
  <w:num w:numId="22">
    <w:abstractNumId w:val="29"/>
  </w:num>
  <w:num w:numId="23">
    <w:abstractNumId w:val="33"/>
  </w:num>
  <w:num w:numId="24">
    <w:abstractNumId w:val="35"/>
  </w:num>
  <w:num w:numId="25">
    <w:abstractNumId w:val="4"/>
  </w:num>
  <w:num w:numId="26">
    <w:abstractNumId w:val="34"/>
  </w:num>
  <w:num w:numId="27">
    <w:abstractNumId w:val="18"/>
  </w:num>
  <w:num w:numId="28">
    <w:abstractNumId w:val="31"/>
  </w:num>
  <w:num w:numId="29">
    <w:abstractNumId w:val="26"/>
  </w:num>
  <w:num w:numId="30">
    <w:abstractNumId w:val="36"/>
  </w:num>
  <w:num w:numId="31">
    <w:abstractNumId w:val="14"/>
  </w:num>
  <w:num w:numId="32">
    <w:abstractNumId w:val="22"/>
  </w:num>
  <w:num w:numId="33">
    <w:abstractNumId w:val="17"/>
  </w:num>
  <w:num w:numId="34">
    <w:abstractNumId w:val="8"/>
  </w:num>
  <w:num w:numId="35">
    <w:abstractNumId w:val="6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5F55"/>
    <w:rsid w:val="000E4613"/>
    <w:rsid w:val="000F7689"/>
    <w:rsid w:val="00106C1E"/>
    <w:rsid w:val="00136746"/>
    <w:rsid w:val="00156B7B"/>
    <w:rsid w:val="00171EDC"/>
    <w:rsid w:val="001D4539"/>
    <w:rsid w:val="001E68F8"/>
    <w:rsid w:val="00201481"/>
    <w:rsid w:val="00205471"/>
    <w:rsid w:val="00212E3E"/>
    <w:rsid w:val="00215EE3"/>
    <w:rsid w:val="0021795E"/>
    <w:rsid w:val="0027479E"/>
    <w:rsid w:val="00277539"/>
    <w:rsid w:val="00281B06"/>
    <w:rsid w:val="00286FC8"/>
    <w:rsid w:val="002B6BF8"/>
    <w:rsid w:val="002D45DA"/>
    <w:rsid w:val="002E79F6"/>
    <w:rsid w:val="00300CFC"/>
    <w:rsid w:val="00311ECF"/>
    <w:rsid w:val="00317C35"/>
    <w:rsid w:val="0033597C"/>
    <w:rsid w:val="00337F1C"/>
    <w:rsid w:val="00346865"/>
    <w:rsid w:val="00354F51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00EB5"/>
    <w:rsid w:val="00546228"/>
    <w:rsid w:val="005637B3"/>
    <w:rsid w:val="005645B4"/>
    <w:rsid w:val="005977C5"/>
    <w:rsid w:val="005B102C"/>
    <w:rsid w:val="005B6988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A0343"/>
    <w:rsid w:val="007C1060"/>
    <w:rsid w:val="007E1349"/>
    <w:rsid w:val="007E4628"/>
    <w:rsid w:val="007F7B6C"/>
    <w:rsid w:val="00802DC4"/>
    <w:rsid w:val="00813A35"/>
    <w:rsid w:val="00817FEB"/>
    <w:rsid w:val="00852957"/>
    <w:rsid w:val="00862FB8"/>
    <w:rsid w:val="00885D75"/>
    <w:rsid w:val="00896CAB"/>
    <w:rsid w:val="008D4BC7"/>
    <w:rsid w:val="008F2A41"/>
    <w:rsid w:val="008F78C9"/>
    <w:rsid w:val="00914027"/>
    <w:rsid w:val="00916767"/>
    <w:rsid w:val="00943A6D"/>
    <w:rsid w:val="0095748D"/>
    <w:rsid w:val="009915C9"/>
    <w:rsid w:val="009A77FE"/>
    <w:rsid w:val="009B76B0"/>
    <w:rsid w:val="009D1387"/>
    <w:rsid w:val="009E3DDA"/>
    <w:rsid w:val="009F0D90"/>
    <w:rsid w:val="009F3C08"/>
    <w:rsid w:val="009F6DFE"/>
    <w:rsid w:val="00A13DE1"/>
    <w:rsid w:val="00A20188"/>
    <w:rsid w:val="00A70AD6"/>
    <w:rsid w:val="00A73FC4"/>
    <w:rsid w:val="00A740E5"/>
    <w:rsid w:val="00A80D34"/>
    <w:rsid w:val="00A90CA5"/>
    <w:rsid w:val="00B10908"/>
    <w:rsid w:val="00B36717"/>
    <w:rsid w:val="00B41495"/>
    <w:rsid w:val="00B64285"/>
    <w:rsid w:val="00B73262"/>
    <w:rsid w:val="00B8443C"/>
    <w:rsid w:val="00BB396E"/>
    <w:rsid w:val="00BC2E61"/>
    <w:rsid w:val="00BC53EF"/>
    <w:rsid w:val="00BC7180"/>
    <w:rsid w:val="00BF1AC4"/>
    <w:rsid w:val="00BF6B4D"/>
    <w:rsid w:val="00C10911"/>
    <w:rsid w:val="00C25156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648C9"/>
    <w:rsid w:val="00D8148D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245E6"/>
    <w:rsid w:val="00E66A9D"/>
    <w:rsid w:val="00E77A97"/>
    <w:rsid w:val="00EA0AA7"/>
    <w:rsid w:val="00EB53E8"/>
    <w:rsid w:val="00EE4347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375C-D31D-4AB8-8F7E-83FD9C6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17</cp:revision>
  <cp:lastPrinted>2020-10-22T06:00:00Z</cp:lastPrinted>
  <dcterms:created xsi:type="dcterms:W3CDTF">2021-01-05T15:20:00Z</dcterms:created>
  <dcterms:modified xsi:type="dcterms:W3CDTF">2021-03-05T11:04:00Z</dcterms:modified>
</cp:coreProperties>
</file>